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6" w:rsidRPr="004F6A48" w:rsidRDefault="00307E46" w:rsidP="00BC6EA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fr-FR"/>
        </w:rPr>
      </w:pPr>
    </w:p>
    <w:p w:rsidR="00B54395" w:rsidRPr="004F6A48" w:rsidRDefault="00B54395" w:rsidP="00BC6EA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</w:p>
    <w:p w:rsidR="00BC6EA1" w:rsidRPr="004F6A48" w:rsidRDefault="00BC6EA1" w:rsidP="00BC6EA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CAIET DE SARCINI</w:t>
      </w:r>
    </w:p>
    <w:p w:rsidR="00BC6EA1" w:rsidRPr="004F6A48" w:rsidRDefault="00BC6EA1" w:rsidP="00D316B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</w:p>
    <w:p w:rsidR="00BC6EA1" w:rsidRPr="004F6A48" w:rsidRDefault="00BC6EA1" w:rsidP="00D316B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</w:p>
    <w:p w:rsidR="00D316B0" w:rsidRPr="004F6A48" w:rsidRDefault="00953DD8" w:rsidP="00D316B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  <w:proofErr w:type="spellStart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Univer</w:t>
      </w:r>
      <w:r w:rsidR="00BB452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sitatea</w:t>
      </w:r>
      <w:proofErr w:type="spellEnd"/>
      <w:r w:rsidR="00BB452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BB452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Științe</w:t>
      </w:r>
      <w:proofErr w:type="spellEnd"/>
      <w:r w:rsidR="00BB452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Agricole </w:t>
      </w:r>
      <w:proofErr w:type="spellStart"/>
      <w:r w:rsidR="00BB452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și</w:t>
      </w:r>
      <w:proofErr w:type="spellEnd"/>
      <w:r w:rsidR="00BB452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B452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Medicină</w:t>
      </w:r>
      <w:proofErr w:type="spellEnd"/>
      <w:r w:rsidR="00BB452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B452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V</w:t>
      </w:r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eterinară</w:t>
      </w:r>
      <w:proofErr w:type="spellEnd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încheiat</w:t>
      </w:r>
      <w:proofErr w:type="spellEnd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un </w:t>
      </w:r>
      <w:proofErr w:type="spellStart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contract</w:t>
      </w:r>
      <w:proofErr w:type="spellEnd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finanț</w:t>
      </w:r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are</w:t>
      </w:r>
      <w:proofErr w:type="spellEnd"/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cu</w:t>
      </w:r>
      <w:proofErr w:type="spellEnd"/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AFIR</w:t>
      </w:r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pentru</w:t>
      </w:r>
      <w:proofErr w:type="spellEnd"/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proiectul</w:t>
      </w:r>
      <w:proofErr w:type="spellEnd"/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“</w:t>
      </w:r>
      <w:r w:rsidR="00B92FB3" w:rsidRPr="004F6A48">
        <w:rPr>
          <w:rFonts w:ascii="Arial" w:hAnsi="Arial" w:cs="Arial"/>
          <w:b/>
          <w:bCs/>
          <w:color w:val="000000" w:themeColor="text1"/>
          <w:sz w:val="24"/>
          <w:szCs w:val="24"/>
        </w:rPr>
        <w:t>Dezvol</w:t>
      </w:r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tarea piețelor locale exclusiv prin lanțuri scurte pentru produse </w:t>
      </w:r>
      <w:r w:rsidRPr="004F6A48">
        <w:rPr>
          <w:rFonts w:ascii="Arial" w:hAnsi="Arial" w:cs="Arial"/>
          <w:b/>
          <w:bCs/>
          <w:color w:val="000000" w:themeColor="text1"/>
          <w:sz w:val="24"/>
          <w:szCs w:val="24"/>
        </w:rPr>
        <w:t>HNV pomicol</w:t>
      </w:r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”</w:t>
      </w:r>
      <w:proofErr w:type="gramStart"/>
      <w:r w:rsidR="000732F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,Sm</w:t>
      </w:r>
      <w:proofErr w:type="gramEnd"/>
      <w:r w:rsidR="000732F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. 16.4A, </w:t>
      </w:r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pe</w:t>
      </w:r>
      <w:proofErr w:type="spellEnd"/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o </w:t>
      </w:r>
      <w:proofErr w:type="spellStart"/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durata</w:t>
      </w:r>
      <w:proofErr w:type="spellEnd"/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implementare</w:t>
      </w:r>
      <w:proofErr w:type="spellEnd"/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de max. 21 de </w:t>
      </w:r>
      <w:proofErr w:type="spellStart"/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luni</w:t>
      </w:r>
      <w:proofErr w:type="spellEnd"/>
      <w:r w:rsidR="00906DFD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si </w:t>
      </w:r>
      <w:proofErr w:type="spellStart"/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avem</w:t>
      </w:r>
      <w:proofErr w:type="spellEnd"/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D316B0" w:rsidRPr="004B151A">
        <w:t>nevoie</w:t>
      </w:r>
      <w:r w:rsidR="00D316B0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872A4C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Servicii</w:t>
      </w:r>
      <w:proofErr w:type="spellEnd"/>
      <w:r w:rsidR="00872A4C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872A4C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promovare</w:t>
      </w:r>
      <w:proofErr w:type="spellEnd"/>
      <w:r w:rsidR="00872A4C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26DA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pentru</w:t>
      </w:r>
      <w:proofErr w:type="spellEnd"/>
      <w:r w:rsidR="00B26DA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26DA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implementarea</w:t>
      </w:r>
      <w:proofErr w:type="spellEnd"/>
      <w:r w:rsidR="00B26DA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26DA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proiectului</w:t>
      </w:r>
      <w:proofErr w:type="spellEnd"/>
      <w:r w:rsidR="00B26DAA"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.</w:t>
      </w:r>
    </w:p>
    <w:p w:rsidR="00B26DAA" w:rsidRPr="004F6A48" w:rsidRDefault="00B26DAA" w:rsidP="00D316B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</w:p>
    <w:p w:rsidR="00B26DAA" w:rsidRPr="004F6A48" w:rsidRDefault="00B26DAA" w:rsidP="00D316B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fr-FR"/>
        </w:rPr>
      </w:pPr>
      <w:proofErr w:type="spellStart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Valoarea</w:t>
      </w:r>
      <w:proofErr w:type="spellEnd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estimată</w:t>
      </w:r>
      <w:proofErr w:type="spellEnd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a </w:t>
      </w:r>
      <w:proofErr w:type="spellStart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contractului</w:t>
      </w:r>
      <w:proofErr w:type="spellEnd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Servicii</w:t>
      </w:r>
      <w:proofErr w:type="spellEnd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promovare</w:t>
      </w:r>
      <w:proofErr w:type="spellEnd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este</w:t>
      </w:r>
      <w:proofErr w:type="spellEnd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de : </w:t>
      </w:r>
      <w:r w:rsidR="00953DD8"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105.000,69</w:t>
      </w:r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lei </w:t>
      </w:r>
      <w:proofErr w:type="spellStart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fără</w:t>
      </w:r>
      <w:proofErr w:type="spellEnd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TVA.</w:t>
      </w:r>
    </w:p>
    <w:p w:rsidR="00B26DAA" w:rsidRPr="004F6A48" w:rsidRDefault="00B26DAA" w:rsidP="00D316B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fr-FR"/>
        </w:rPr>
      </w:pPr>
    </w:p>
    <w:p w:rsidR="00B26DAA" w:rsidRDefault="00B26DAA" w:rsidP="00D316B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fr-FR"/>
        </w:rPr>
      </w:pPr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COD CPV</w:t>
      </w:r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 : </w:t>
      </w:r>
      <w:r w:rsidR="00D76373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  </w:t>
      </w:r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79342200-5 </w:t>
      </w:r>
      <w:proofErr w:type="spellStart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Servicii</w:t>
      </w:r>
      <w:proofErr w:type="spellEnd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promovare</w:t>
      </w:r>
      <w:proofErr w:type="spellEnd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Rev</w:t>
      </w:r>
      <w:proofErr w:type="spellEnd"/>
      <w:r w:rsidRPr="004F6A48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. 2)</w:t>
      </w:r>
    </w:p>
    <w:p w:rsidR="00D76373" w:rsidRPr="00D76373" w:rsidRDefault="00D76373" w:rsidP="00D76373">
      <w:pPr>
        <w:tabs>
          <w:tab w:val="left" w:pos="2370"/>
        </w:tabs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D76373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COD CAEN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 : </w:t>
      </w:r>
      <w:r w:rsidRPr="00D76373">
        <w:rPr>
          <w:rFonts w:ascii="Arial" w:hAnsi="Arial" w:cs="Arial"/>
          <w:b/>
          <w:sz w:val="24"/>
          <w:szCs w:val="24"/>
          <w:lang w:val="it-IT"/>
        </w:rPr>
        <w:t>7311 – Activități ale agențiilor de publicitate</w:t>
      </w:r>
    </w:p>
    <w:p w:rsidR="00D76373" w:rsidRPr="00D76373" w:rsidRDefault="00D76373" w:rsidP="00D76373">
      <w:pPr>
        <w:tabs>
          <w:tab w:val="left" w:pos="2370"/>
        </w:tabs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D7637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                   </w:t>
      </w:r>
      <w:r w:rsidRPr="00D7637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</w:t>
      </w:r>
    </w:p>
    <w:p w:rsidR="00D76373" w:rsidRPr="00D76373" w:rsidRDefault="00D76373" w:rsidP="00D316B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</w:p>
    <w:p w:rsidR="00B26DAA" w:rsidRPr="004F6A48" w:rsidRDefault="00B26DAA" w:rsidP="00D316B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fr-FR"/>
        </w:rPr>
      </w:pPr>
    </w:p>
    <w:p w:rsidR="00B26DAA" w:rsidRPr="004F6A48" w:rsidRDefault="00B26DAA" w:rsidP="00D316B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CERINȚE</w:t>
      </w:r>
    </w:p>
    <w:p w:rsidR="00B26DAA" w:rsidRPr="004F6A48" w:rsidRDefault="00B26DAA" w:rsidP="00D316B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  <w:proofErr w:type="spellStart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Serviciile</w:t>
      </w:r>
      <w:proofErr w:type="spellEnd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promovare</w:t>
      </w:r>
      <w:proofErr w:type="spellEnd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constau</w:t>
      </w:r>
      <w:proofErr w:type="spellEnd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în</w:t>
      </w:r>
      <w:proofErr w:type="spellEnd"/>
      <w:r w:rsidRPr="004F6A48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 :</w:t>
      </w:r>
    </w:p>
    <w:p w:rsidR="00906DFD" w:rsidRPr="004F6A48" w:rsidRDefault="00906DFD" w:rsidP="00D316B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</w:p>
    <w:p w:rsidR="00953DD8" w:rsidRPr="004F6A48" w:rsidRDefault="00872A4C" w:rsidP="00872A4C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6A4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F6A4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6A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realizarea </w:t>
      </w:r>
      <w:r w:rsidR="00953DD8" w:rsidRPr="004F6A48">
        <w:rPr>
          <w:rFonts w:ascii="Arial" w:eastAsia="Times New Roman" w:hAnsi="Arial" w:cs="Arial"/>
          <w:b/>
          <w:color w:val="000000"/>
          <w:sz w:val="24"/>
          <w:szCs w:val="24"/>
        </w:rPr>
        <w:t>unei emisiuni culinare</w:t>
      </w:r>
      <w:r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2FB3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și </w:t>
      </w:r>
      <w:r w:rsidR="00B92FB3" w:rsidRPr="00EC66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difuzarea </w:t>
      </w:r>
      <w:r w:rsidR="00953DD8" w:rsidRPr="00EC661A">
        <w:rPr>
          <w:rFonts w:ascii="Arial" w:eastAsia="Times New Roman" w:hAnsi="Arial" w:cs="Arial"/>
          <w:color w:val="000000" w:themeColor="text1"/>
          <w:sz w:val="24"/>
          <w:szCs w:val="24"/>
        </w:rPr>
        <w:t>ei</w:t>
      </w:r>
      <w:r w:rsidR="00B92FB3" w:rsidRPr="00EC66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 o televiziune</w:t>
      </w:r>
      <w:r w:rsidR="00B92FB3" w:rsidRPr="004F6A48">
        <w:rPr>
          <w:rFonts w:ascii="Arial" w:eastAsia="Times New Roman" w:hAnsi="Arial" w:cs="Arial"/>
          <w:color w:val="000000"/>
          <w:sz w:val="24"/>
          <w:szCs w:val="24"/>
        </w:rPr>
        <w:t>: î</w:t>
      </w:r>
      <w:r w:rsidRPr="004F6A48">
        <w:rPr>
          <w:rFonts w:ascii="Arial" w:eastAsia="Times New Roman" w:hAnsi="Arial" w:cs="Arial"/>
          <w:color w:val="000000"/>
          <w:sz w:val="24"/>
          <w:szCs w:val="24"/>
        </w:rPr>
        <w:t>n care sa fie</w:t>
      </w:r>
      <w:r w:rsidR="00B92FB3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 prezentate produsele pomicole</w:t>
      </w:r>
      <w:r w:rsidR="00953DD8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 din zonele HNV Săcuieu și Mărișel, specificul acestora. Tradiționalitatea soiurilor de pomi și a preparatelor culinare pe bază de fructe realizate în zonă și moștenite din generație în generație.</w:t>
      </w:r>
      <w:r w:rsidR="00953DD8" w:rsidRPr="004F6A48">
        <w:rPr>
          <w:rFonts w:ascii="Arial" w:hAnsi="Arial" w:cs="Arial"/>
        </w:rPr>
        <w:t xml:space="preserve"> </w:t>
      </w:r>
      <w:r w:rsidR="00953DD8" w:rsidRPr="004F6A48">
        <w:rPr>
          <w:rFonts w:ascii="Arial" w:eastAsia="Times New Roman" w:hAnsi="Arial" w:cs="Arial"/>
          <w:color w:val="000000"/>
          <w:sz w:val="24"/>
          <w:szCs w:val="24"/>
        </w:rPr>
        <w:t>Prin realizarea acestei emisiuni, parteneriatul își propune să atragă atenția asupra faptului că zona HNV vizată dispune de un patrimoniu culinar divers, care poate fi exploatat și făcut cunoscut la o scară cât mai mare. Emisiunea TV ce se va realiza prin implementarea proiectului va avea ca și rol primordial promovarea produselor pomicole și a producătorilor pomicoli din aria HNV vizată, oferind totodată informații precum : necesitatea de a consuma produse pomicole locale, perioadele din an când produsele pomicole sunt comercializate și care sunt principalii producători din zonă, rețete și feluri de mâncare tradiționale.</w:t>
      </w:r>
    </w:p>
    <w:p w:rsidR="00F316C9" w:rsidRPr="004F6A48" w:rsidRDefault="00F316C9" w:rsidP="00872A4C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6A48">
        <w:rPr>
          <w:rFonts w:ascii="Arial" w:eastAsia="Times New Roman" w:hAnsi="Arial" w:cs="Arial"/>
          <w:color w:val="000000"/>
          <w:sz w:val="24"/>
          <w:szCs w:val="24"/>
        </w:rPr>
        <w:t>Vor fi predate și înregistrările brute.</w:t>
      </w:r>
    </w:p>
    <w:p w:rsidR="00B54395" w:rsidRPr="004F6A48" w:rsidRDefault="00B54395" w:rsidP="00872A4C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6A48">
        <w:rPr>
          <w:rFonts w:ascii="Arial" w:eastAsia="Times New Roman" w:hAnsi="Arial" w:cs="Arial"/>
          <w:b/>
          <w:color w:val="000000"/>
          <w:sz w:val="24"/>
          <w:szCs w:val="24"/>
        </w:rPr>
        <w:t>Durata emisiunii</w:t>
      </w:r>
      <w:r w:rsidRPr="004F6A48">
        <w:rPr>
          <w:rFonts w:ascii="Arial" w:eastAsia="Times New Roman" w:hAnsi="Arial" w:cs="Arial"/>
          <w:color w:val="000000"/>
          <w:sz w:val="24"/>
          <w:szCs w:val="24"/>
        </w:rPr>
        <w:t>: min. 30 de minute.</w:t>
      </w:r>
    </w:p>
    <w:p w:rsidR="00B92FB3" w:rsidRPr="004F6A48" w:rsidRDefault="004B151A" w:rsidP="005D5A53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realizarea unui clip publicitar pentru TV și un spot publicitar pentru radio între 20 și 30 de secunde;  </w:t>
      </w:r>
      <w:r w:rsidR="002001EB" w:rsidRPr="004F6A48">
        <w:rPr>
          <w:rFonts w:ascii="Arial" w:eastAsia="Times New Roman" w:hAnsi="Arial" w:cs="Arial"/>
          <w:color w:val="000000"/>
          <w:sz w:val="24"/>
          <w:szCs w:val="24"/>
        </w:rPr>
        <w:t>Trebuie predate și înregistrările brute;</w:t>
      </w:r>
    </w:p>
    <w:p w:rsidR="00B92FB3" w:rsidRPr="004F6A48" w:rsidRDefault="00A170C7" w:rsidP="00450FC3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Fiecare s</w:t>
      </w:r>
      <w:r w:rsidR="002001EB" w:rsidRPr="004F6A48">
        <w:rPr>
          <w:rFonts w:ascii="Arial" w:eastAsia="Times New Roman" w:hAnsi="Arial" w:cs="Arial"/>
          <w:color w:val="000000"/>
          <w:sz w:val="24"/>
          <w:szCs w:val="24"/>
        </w:rPr>
        <w:t>pot v</w:t>
      </w:r>
      <w:r w:rsidR="001E6696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001EB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 fi difuz</w:t>
      </w:r>
      <w:r w:rsidR="00450FC3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="00D93E28">
        <w:rPr>
          <w:rFonts w:ascii="Arial" w:eastAsia="Times New Roman" w:hAnsi="Arial" w:cs="Arial"/>
          <w:color w:val="000000"/>
          <w:sz w:val="24"/>
          <w:szCs w:val="24"/>
        </w:rPr>
        <w:t>minim</w:t>
      </w:r>
      <w:r w:rsidR="00977F8A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93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4293">
        <w:rPr>
          <w:rFonts w:ascii="Arial" w:eastAsia="Times New Roman" w:hAnsi="Arial" w:cs="Arial"/>
          <w:color w:val="000000"/>
          <w:sz w:val="24"/>
          <w:szCs w:val="24"/>
        </w:rPr>
        <w:t>de trei ori</w:t>
      </w:r>
      <w:r w:rsidR="00450FC3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, timp de o lună, și </w:t>
      </w:r>
      <w:r w:rsidR="002001EB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săptămânal timp de </w:t>
      </w:r>
      <w:r>
        <w:rPr>
          <w:rFonts w:ascii="Arial" w:eastAsia="Times New Roman" w:hAnsi="Arial" w:cs="Arial"/>
          <w:color w:val="000000"/>
          <w:sz w:val="24"/>
          <w:szCs w:val="24"/>
        </w:rPr>
        <w:t>patru</w:t>
      </w:r>
      <w:r w:rsidR="002001EB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 luni.</w:t>
      </w:r>
    </w:p>
    <w:p w:rsidR="00B92FB3" w:rsidRPr="004F6A48" w:rsidRDefault="00B92FB3" w:rsidP="00450FC3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50FC3" w:rsidRPr="004F6A48" w:rsidRDefault="00450FC3" w:rsidP="00872A4C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6A48">
        <w:rPr>
          <w:rFonts w:ascii="Arial" w:eastAsia="Times New Roman" w:hAnsi="Arial" w:cs="Arial"/>
          <w:color w:val="000000"/>
          <w:sz w:val="24"/>
          <w:szCs w:val="24"/>
        </w:rPr>
        <w:t>Aceste spoturi sunt menite să</w:t>
      </w:r>
      <w:r w:rsidR="00872A4C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 promoveze produsele pomi</w:t>
      </w:r>
      <w:r w:rsidRPr="004F6A48">
        <w:rPr>
          <w:rFonts w:ascii="Arial" w:eastAsia="Times New Roman" w:hAnsi="Arial" w:cs="Arial"/>
          <w:color w:val="000000"/>
          <w:sz w:val="24"/>
          <w:szCs w:val="24"/>
        </w:rPr>
        <w:t>cole si eco pomicole ale producă</w:t>
      </w:r>
      <w:r w:rsidR="00872A4C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torilor vizati si sustinute prin parteneriat. </w:t>
      </w:r>
      <w:r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 V</w:t>
      </w:r>
      <w:r w:rsidR="00872A4C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or fi difuzate  la televiziuni </w:t>
      </w:r>
      <w:r w:rsidR="008D1412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și posturi de radio </w:t>
      </w:r>
      <w:r w:rsidR="00872A4C" w:rsidRPr="004F6A48">
        <w:rPr>
          <w:rFonts w:ascii="Arial" w:eastAsia="Times New Roman" w:hAnsi="Arial" w:cs="Arial"/>
          <w:color w:val="000000"/>
          <w:sz w:val="24"/>
          <w:szCs w:val="24"/>
        </w:rPr>
        <w:t>de pe plan local si/sau la nivel national</w:t>
      </w:r>
      <w:r w:rsidR="00846F58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 și/sau regional</w:t>
      </w:r>
      <w:r w:rsidR="00872A4C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316C9" w:rsidRPr="004F6A48" w:rsidRDefault="00F316C9" w:rsidP="00872A4C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5A53" w:rsidRDefault="005D5A53" w:rsidP="00155A7B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872A4C" w:rsidRPr="004F6A48">
        <w:rPr>
          <w:rFonts w:ascii="Arial" w:eastAsia="Times New Roman" w:hAnsi="Arial" w:cs="Arial"/>
          <w:b/>
          <w:color w:val="000000"/>
          <w:sz w:val="24"/>
          <w:szCs w:val="24"/>
        </w:rPr>
        <w:t>promovarea prin inter</w:t>
      </w:r>
      <w:r w:rsidR="00450FC3" w:rsidRPr="004F6A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mediul </w:t>
      </w:r>
      <w:r w:rsidR="004B1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Google Ads </w:t>
      </w:r>
      <w:r w:rsidR="00E278EF">
        <w:rPr>
          <w:rFonts w:ascii="Arial" w:eastAsia="Times New Roman" w:hAnsi="Arial" w:cs="Arial"/>
          <w:color w:val="000000"/>
          <w:sz w:val="24"/>
          <w:szCs w:val="24"/>
        </w:rPr>
        <w:t xml:space="preserve">(minim 2.000 de click-uri) </w:t>
      </w:r>
      <w:r w:rsidR="00450FC3" w:rsidRPr="004F6A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și </w:t>
      </w:r>
      <w:r w:rsidR="00FB08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crearea și </w:t>
      </w:r>
      <w:r w:rsidR="00450FC3" w:rsidRPr="004F6A48">
        <w:rPr>
          <w:rFonts w:ascii="Arial" w:eastAsia="Times New Roman" w:hAnsi="Arial" w:cs="Arial"/>
          <w:b/>
          <w:color w:val="000000"/>
          <w:sz w:val="24"/>
          <w:szCs w:val="24"/>
        </w:rPr>
        <w:t>gestionarea</w:t>
      </w:r>
      <w:r w:rsidR="004B1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unei pagini de F</w:t>
      </w:r>
      <w:r w:rsidR="00450FC3" w:rsidRPr="004F6A48">
        <w:rPr>
          <w:rFonts w:ascii="Arial" w:eastAsia="Times New Roman" w:hAnsi="Arial" w:cs="Arial"/>
          <w:b/>
          <w:color w:val="000000"/>
          <w:sz w:val="24"/>
          <w:szCs w:val="24"/>
        </w:rPr>
        <w:t>acebook</w:t>
      </w:r>
      <w:r w:rsidR="00E278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278EF" w:rsidRPr="00EC66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și a unui website de prezentare,</w:t>
      </w:r>
      <w:r w:rsidR="004F6A48" w:rsidRPr="00E278E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872A4C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care va ajuta la promovarea  parteneriatului si a produselor pomicole </w:t>
      </w:r>
      <w:r w:rsidR="00163A33" w:rsidRPr="004F6A48">
        <w:rPr>
          <w:rFonts w:ascii="Arial" w:eastAsia="Times New Roman" w:hAnsi="Arial" w:cs="Arial"/>
          <w:color w:val="000000"/>
          <w:sz w:val="24"/>
          <w:szCs w:val="24"/>
        </w:rPr>
        <w:t>HNV,</w:t>
      </w:r>
      <w:r w:rsidR="00872A4C" w:rsidRPr="004F6A48">
        <w:rPr>
          <w:rFonts w:ascii="Arial" w:eastAsia="Times New Roman" w:hAnsi="Arial" w:cs="Arial"/>
          <w:color w:val="000000"/>
          <w:sz w:val="24"/>
          <w:szCs w:val="24"/>
        </w:rPr>
        <w:t xml:space="preserve"> dar si la diseminarea informatii</w:t>
      </w:r>
      <w:r w:rsidR="00163A33" w:rsidRPr="004F6A48">
        <w:rPr>
          <w:rFonts w:ascii="Arial" w:eastAsia="Times New Roman" w:hAnsi="Arial" w:cs="Arial"/>
          <w:color w:val="000000"/>
          <w:sz w:val="24"/>
          <w:szCs w:val="24"/>
        </w:rPr>
        <w:t>lor privitoare la evenimentele și acțiunile î</w:t>
      </w:r>
      <w:r w:rsidR="00155A7B" w:rsidRPr="004F6A48">
        <w:rPr>
          <w:rFonts w:ascii="Arial" w:eastAsia="Times New Roman" w:hAnsi="Arial" w:cs="Arial"/>
          <w:color w:val="000000"/>
          <w:sz w:val="24"/>
          <w:szCs w:val="24"/>
        </w:rPr>
        <w:t>ntreprinse prin proiect.</w:t>
      </w:r>
    </w:p>
    <w:p w:rsidR="004F6A48" w:rsidRPr="004F6A48" w:rsidRDefault="004F6A48" w:rsidP="00155A7B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54395" w:rsidRDefault="004F6A48" w:rsidP="00155A7B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Materiale de promovare, după cum urmează:</w:t>
      </w:r>
    </w:p>
    <w:p w:rsidR="004F6A48" w:rsidRPr="00EC661A" w:rsidRDefault="004F6A48" w:rsidP="00155A7B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6A48" w:rsidRPr="00EC661A" w:rsidRDefault="00F316C9" w:rsidP="004F6A4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C66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6A48" w:rsidRPr="00EC661A">
        <w:rPr>
          <w:rFonts w:ascii="Arial" w:eastAsiaTheme="minorHAnsi" w:hAnsi="Arial" w:cs="Arial"/>
          <w:sz w:val="24"/>
          <w:szCs w:val="24"/>
        </w:rPr>
        <w:t>un pop-up spider curb cu dimensiuni minime 3x3 ;</w:t>
      </w:r>
    </w:p>
    <w:p w:rsidR="004F6A48" w:rsidRPr="004F6A48" w:rsidRDefault="004F6A48" w:rsidP="004F6A4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F6A48">
        <w:rPr>
          <w:rFonts w:ascii="Arial" w:eastAsiaTheme="minorHAnsi" w:hAnsi="Arial" w:cs="Arial"/>
          <w:sz w:val="24"/>
          <w:szCs w:val="24"/>
        </w:rPr>
        <w:t>500 de plase</w:t>
      </w:r>
      <w:r w:rsidR="00FF53B0">
        <w:rPr>
          <w:rFonts w:ascii="Arial" w:eastAsiaTheme="minorHAnsi" w:hAnsi="Arial" w:cs="Arial"/>
          <w:sz w:val="24"/>
          <w:szCs w:val="24"/>
        </w:rPr>
        <w:t xml:space="preserve"> pânză</w:t>
      </w:r>
      <w:r w:rsidRPr="004F6A48">
        <w:rPr>
          <w:rFonts w:ascii="Arial" w:eastAsiaTheme="minorHAnsi" w:hAnsi="Arial" w:cs="Arial"/>
          <w:sz w:val="24"/>
          <w:szCs w:val="24"/>
        </w:rPr>
        <w:t xml:space="preserve"> imprimate  cu max. 2 culori, cu logo inclus (la indicația beneficiarului);</w:t>
      </w:r>
    </w:p>
    <w:p w:rsidR="004F6A48" w:rsidRPr="004F6A48" w:rsidRDefault="00EC661A" w:rsidP="004F6A4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250</w:t>
      </w:r>
      <w:r w:rsidR="004F6A48" w:rsidRPr="004F6A48">
        <w:rPr>
          <w:rFonts w:ascii="Arial" w:eastAsiaTheme="minorHAnsi" w:hAnsi="Arial" w:cs="Arial"/>
          <w:sz w:val="24"/>
          <w:szCs w:val="24"/>
        </w:rPr>
        <w:t xml:space="preserve"> de memory stick-uri, având inscripționate elemente de identitate vizuală ale proiectului</w:t>
      </w:r>
      <w:r w:rsidR="004B151A">
        <w:rPr>
          <w:rFonts w:ascii="Arial" w:eastAsiaTheme="minorHAnsi" w:hAnsi="Arial" w:cs="Arial"/>
          <w:sz w:val="24"/>
          <w:szCs w:val="24"/>
        </w:rPr>
        <w:t xml:space="preserve"> (capacitate de minimum 8 GB)</w:t>
      </w:r>
      <w:r w:rsidR="004F6A48" w:rsidRPr="004F6A48">
        <w:rPr>
          <w:rFonts w:ascii="Arial" w:eastAsiaTheme="minorHAnsi" w:hAnsi="Arial" w:cs="Arial"/>
          <w:sz w:val="24"/>
          <w:szCs w:val="24"/>
        </w:rPr>
        <w:t>;</w:t>
      </w:r>
    </w:p>
    <w:p w:rsidR="004F6A48" w:rsidRPr="004F6A48" w:rsidRDefault="00EC661A" w:rsidP="004F6A4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250</w:t>
      </w:r>
      <w:r w:rsidR="004F6A48" w:rsidRPr="004F6A48">
        <w:rPr>
          <w:rFonts w:ascii="Arial" w:eastAsiaTheme="minorHAnsi" w:hAnsi="Arial" w:cs="Arial"/>
          <w:sz w:val="24"/>
          <w:szCs w:val="24"/>
        </w:rPr>
        <w:t xml:space="preserve"> de pixuri având inscripționate elemente de identitate vizuală ale proiectului;</w:t>
      </w:r>
    </w:p>
    <w:p w:rsidR="00450FC3" w:rsidRDefault="000F275B" w:rsidP="001E669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</w:t>
      </w:r>
      <w:r w:rsidR="004F6A48" w:rsidRPr="001E6696">
        <w:rPr>
          <w:rFonts w:ascii="Arial" w:eastAsiaTheme="minorHAnsi" w:hAnsi="Arial" w:cs="Arial"/>
          <w:sz w:val="24"/>
          <w:szCs w:val="24"/>
        </w:rPr>
        <w:t>00 de block notes-uri, având inscripționate elemente de ide</w:t>
      </w:r>
      <w:r w:rsidR="004B151A">
        <w:rPr>
          <w:rFonts w:ascii="Arial" w:eastAsiaTheme="minorHAnsi" w:hAnsi="Arial" w:cs="Arial"/>
          <w:sz w:val="24"/>
          <w:szCs w:val="24"/>
        </w:rPr>
        <w:t>ntitate vizuală ale proiectului;</w:t>
      </w:r>
    </w:p>
    <w:p w:rsidR="004B151A" w:rsidRDefault="004B151A" w:rsidP="001E669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100 de afișe în format A3, care să conțină elemente de identitate vizuală ale proiectului și alte informații referitoare la acestea.</w:t>
      </w:r>
    </w:p>
    <w:p w:rsidR="007B3BDF" w:rsidRPr="00EC661A" w:rsidRDefault="00EC661A" w:rsidP="001E669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C661A">
        <w:rPr>
          <w:rFonts w:ascii="Arial" w:eastAsiaTheme="minorHAnsi" w:hAnsi="Arial" w:cs="Arial"/>
          <w:color w:val="000000" w:themeColor="text1"/>
          <w:sz w:val="24"/>
          <w:szCs w:val="24"/>
        </w:rPr>
        <w:t>15</w:t>
      </w:r>
      <w:r w:rsidR="007B3BDF" w:rsidRPr="00EC661A">
        <w:rPr>
          <w:rFonts w:ascii="Arial" w:eastAsiaTheme="minorHAnsi" w:hAnsi="Arial" w:cs="Arial"/>
          <w:color w:val="000000" w:themeColor="text1"/>
          <w:sz w:val="24"/>
          <w:szCs w:val="24"/>
        </w:rPr>
        <w:t>0 veste inscripționate</w:t>
      </w:r>
    </w:p>
    <w:p w:rsidR="007B3BDF" w:rsidRPr="00EC661A" w:rsidRDefault="007B7ADC" w:rsidP="001E669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C661A">
        <w:rPr>
          <w:rFonts w:ascii="Arial" w:eastAsiaTheme="minorHAnsi" w:hAnsi="Arial" w:cs="Arial"/>
          <w:color w:val="000000" w:themeColor="text1"/>
          <w:sz w:val="24"/>
          <w:szCs w:val="24"/>
        </w:rPr>
        <w:t>150 șepci inscripționate</w:t>
      </w:r>
    </w:p>
    <w:p w:rsidR="000732FB" w:rsidRDefault="000732FB" w:rsidP="000732FB">
      <w:pPr>
        <w:spacing w:line="360" w:lineRule="auto"/>
        <w:ind w:left="360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0732FB">
        <w:rPr>
          <w:rFonts w:ascii="Arial" w:eastAsiaTheme="minorHAnsi" w:hAnsi="Arial" w:cs="Arial"/>
          <w:b/>
          <w:sz w:val="24"/>
          <w:szCs w:val="24"/>
          <w:u w:val="single"/>
        </w:rPr>
        <w:lastRenderedPageBreak/>
        <w:t>Prezentarea ofertei</w:t>
      </w:r>
      <w:r>
        <w:rPr>
          <w:rFonts w:ascii="Arial" w:eastAsiaTheme="minorHAnsi" w:hAnsi="Arial" w:cs="Arial"/>
          <w:b/>
          <w:sz w:val="24"/>
          <w:szCs w:val="24"/>
          <w:u w:val="single"/>
        </w:rPr>
        <w:t>:</w:t>
      </w:r>
    </w:p>
    <w:p w:rsidR="000732FB" w:rsidRPr="003B6711" w:rsidRDefault="000732FB" w:rsidP="000732FB">
      <w:pPr>
        <w:pStyle w:val="ListParagraph"/>
        <w:numPr>
          <w:ilvl w:val="0"/>
          <w:numId w:val="8"/>
        </w:num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Oferta</w:t>
      </w:r>
      <w:proofErr w:type="spellEnd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trebuie</w:t>
      </w:r>
      <w:proofErr w:type="spellEnd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defalcată</w:t>
      </w:r>
      <w:proofErr w:type="spellEnd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pe</w:t>
      </w:r>
      <w:proofErr w:type="spellEnd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componentele</w:t>
      </w:r>
      <w:proofErr w:type="spellEnd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și</w:t>
      </w:r>
      <w:proofErr w:type="spellEnd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prețurile</w:t>
      </w:r>
      <w:proofErr w:type="spellEnd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acestora</w:t>
      </w:r>
      <w:proofErr w:type="spellEnd"/>
      <w:r w:rsidRPr="003B671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.</w:t>
      </w:r>
    </w:p>
    <w:p w:rsidR="004B151A" w:rsidRPr="00D76373" w:rsidRDefault="004B151A" w:rsidP="004B151A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Ofertanții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vor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demonstra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că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au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domeniul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de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activitate</w:t>
      </w:r>
      <w:proofErr w:type="spellEnd"/>
      <w:proofErr w:type="gram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certificatul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ONRC (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coduri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caen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autorizate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) : </w:t>
      </w:r>
      <w:r w:rsidRPr="0000784B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COD CAEN :</w:t>
      </w:r>
      <w:r w:rsidRPr="004B151A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D76373">
        <w:rPr>
          <w:rFonts w:ascii="Arial" w:hAnsi="Arial" w:cs="Arial"/>
          <w:b/>
          <w:sz w:val="24"/>
          <w:szCs w:val="24"/>
          <w:lang w:val="it-IT"/>
        </w:rPr>
        <w:t>7311 – Activităț</w:t>
      </w:r>
      <w:r>
        <w:rPr>
          <w:rFonts w:ascii="Arial" w:hAnsi="Arial" w:cs="Arial"/>
          <w:b/>
          <w:sz w:val="24"/>
          <w:szCs w:val="24"/>
          <w:lang w:val="it-IT"/>
        </w:rPr>
        <w:t>i</w:t>
      </w:r>
      <w:r w:rsidR="007B7ADC">
        <w:rPr>
          <w:rFonts w:ascii="Arial" w:hAnsi="Arial" w:cs="Arial"/>
          <w:b/>
          <w:sz w:val="24"/>
          <w:szCs w:val="24"/>
          <w:lang w:val="it-IT"/>
        </w:rPr>
        <w:t xml:space="preserve"> ale agențiilor de publicitate</w:t>
      </w:r>
      <w:r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.</w:t>
      </w:r>
    </w:p>
    <w:p w:rsidR="000732FB" w:rsidRDefault="000732FB" w:rsidP="004B151A">
      <w:pPr>
        <w:pStyle w:val="ListParagraph"/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4B151A" w:rsidRPr="000732FB" w:rsidRDefault="004B151A" w:rsidP="004B151A">
      <w:pPr>
        <w:pStyle w:val="ListParagraph"/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0647A3" w:rsidRPr="004B151A" w:rsidRDefault="000647A3" w:rsidP="0077247F">
      <w:pPr>
        <w:autoSpaceDE w:val="0"/>
        <w:autoSpaceDN w:val="0"/>
        <w:adjustRightInd w:val="0"/>
        <w:spacing w:before="120"/>
        <w:jc w:val="center"/>
      </w:pPr>
      <w:bookmarkStart w:id="0" w:name="_GoBack"/>
      <w:bookmarkEnd w:id="0"/>
    </w:p>
    <w:sectPr w:rsidR="000647A3" w:rsidRPr="004B15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97" w:rsidRDefault="00ED2497" w:rsidP="00BC6EA1">
      <w:pPr>
        <w:spacing w:after="0" w:line="240" w:lineRule="auto"/>
      </w:pPr>
      <w:r>
        <w:separator/>
      </w:r>
    </w:p>
  </w:endnote>
  <w:endnote w:type="continuationSeparator" w:id="0">
    <w:p w:rsidR="00ED2497" w:rsidRDefault="00ED2497" w:rsidP="00BC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97" w:rsidRDefault="00ED2497" w:rsidP="00BC6EA1">
      <w:pPr>
        <w:spacing w:after="0" w:line="240" w:lineRule="auto"/>
      </w:pPr>
      <w:r>
        <w:separator/>
      </w:r>
    </w:p>
  </w:footnote>
  <w:footnote w:type="continuationSeparator" w:id="0">
    <w:p w:rsidR="00ED2497" w:rsidRDefault="00ED2497" w:rsidP="00BC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F1" w:rsidRDefault="00953DD8" w:rsidP="00953DD8">
    <w:pPr>
      <w:pStyle w:val="Header"/>
      <w:tabs>
        <w:tab w:val="clear" w:pos="4680"/>
        <w:tab w:val="clear" w:pos="9360"/>
        <w:tab w:val="left" w:pos="1653"/>
      </w:tabs>
    </w:pPr>
    <w:r>
      <w:tab/>
    </w:r>
    <w:r w:rsidR="00B54395">
      <w:rPr>
        <w:noProof/>
        <w:lang w:val="en-US"/>
      </w:rPr>
      <w:drawing>
        <wp:inline distT="0" distB="0" distL="0" distR="0" wp14:anchorId="57E95028" wp14:editId="2CB4FEA0">
          <wp:extent cx="5756910" cy="980440"/>
          <wp:effectExtent l="0" t="0" r="0" b="0"/>
          <wp:docPr id="1" name="Picture 1" descr="antet USAMV color 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tet USAMV color q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0F1" w:rsidRDefault="00273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"/>
      <w:lvlJc w:val="left"/>
      <w:pPr>
        <w:tabs>
          <w:tab w:val="num" w:pos="-1080"/>
        </w:tabs>
        <w:ind w:left="36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3">
    <w:nsid w:val="0000000F"/>
    <w:multiLevelType w:val="singleLevel"/>
    <w:tmpl w:val="0000000F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1C8551F7"/>
    <w:multiLevelType w:val="hybridMultilevel"/>
    <w:tmpl w:val="308029BA"/>
    <w:lvl w:ilvl="0" w:tplc="6734C26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472E"/>
    <w:multiLevelType w:val="hybridMultilevel"/>
    <w:tmpl w:val="EBD267B0"/>
    <w:lvl w:ilvl="0" w:tplc="50B6BF9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07AD9"/>
    <w:multiLevelType w:val="hybridMultilevel"/>
    <w:tmpl w:val="211A6036"/>
    <w:lvl w:ilvl="0" w:tplc="50B6BF9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3405C"/>
    <w:multiLevelType w:val="hybridMultilevel"/>
    <w:tmpl w:val="AFA00E48"/>
    <w:lvl w:ilvl="0" w:tplc="50B6BF9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C26CE"/>
    <w:multiLevelType w:val="singleLevel"/>
    <w:tmpl w:val="1690FDE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5"/>
    <w:rsid w:val="0000422E"/>
    <w:rsid w:val="000647A3"/>
    <w:rsid w:val="000732FB"/>
    <w:rsid w:val="000A4BFD"/>
    <w:rsid w:val="000F1F8C"/>
    <w:rsid w:val="000F275B"/>
    <w:rsid w:val="00155A7B"/>
    <w:rsid w:val="00163A33"/>
    <w:rsid w:val="00173B67"/>
    <w:rsid w:val="00193A8A"/>
    <w:rsid w:val="001A1360"/>
    <w:rsid w:val="001C2D2E"/>
    <w:rsid w:val="001C2F0E"/>
    <w:rsid w:val="001E636D"/>
    <w:rsid w:val="001E6696"/>
    <w:rsid w:val="002001EB"/>
    <w:rsid w:val="0020675E"/>
    <w:rsid w:val="002730F1"/>
    <w:rsid w:val="002B3DAE"/>
    <w:rsid w:val="002F7EC7"/>
    <w:rsid w:val="00307E46"/>
    <w:rsid w:val="0035715B"/>
    <w:rsid w:val="00385944"/>
    <w:rsid w:val="003E3695"/>
    <w:rsid w:val="00450FC3"/>
    <w:rsid w:val="00495DBF"/>
    <w:rsid w:val="004B151A"/>
    <w:rsid w:val="004F6A48"/>
    <w:rsid w:val="00542835"/>
    <w:rsid w:val="00543FA7"/>
    <w:rsid w:val="005C5C38"/>
    <w:rsid w:val="005D5A53"/>
    <w:rsid w:val="006353F7"/>
    <w:rsid w:val="00656E62"/>
    <w:rsid w:val="006E0789"/>
    <w:rsid w:val="0077247F"/>
    <w:rsid w:val="007B3BDF"/>
    <w:rsid w:val="007B7ADC"/>
    <w:rsid w:val="007C4293"/>
    <w:rsid w:val="007E392F"/>
    <w:rsid w:val="00846F58"/>
    <w:rsid w:val="00872A4C"/>
    <w:rsid w:val="008730E7"/>
    <w:rsid w:val="008776DF"/>
    <w:rsid w:val="008D1412"/>
    <w:rsid w:val="00906DFD"/>
    <w:rsid w:val="00920316"/>
    <w:rsid w:val="00951A09"/>
    <w:rsid w:val="00953DD8"/>
    <w:rsid w:val="00962B7D"/>
    <w:rsid w:val="00977F8A"/>
    <w:rsid w:val="00A170C7"/>
    <w:rsid w:val="00A77C20"/>
    <w:rsid w:val="00A9192F"/>
    <w:rsid w:val="00AA1655"/>
    <w:rsid w:val="00AB0B1D"/>
    <w:rsid w:val="00AE22FA"/>
    <w:rsid w:val="00AF3E34"/>
    <w:rsid w:val="00B20737"/>
    <w:rsid w:val="00B26DAA"/>
    <w:rsid w:val="00B54395"/>
    <w:rsid w:val="00B72CFB"/>
    <w:rsid w:val="00B862D0"/>
    <w:rsid w:val="00B92FB3"/>
    <w:rsid w:val="00BB452A"/>
    <w:rsid w:val="00BC6EA1"/>
    <w:rsid w:val="00C05A79"/>
    <w:rsid w:val="00C67ECA"/>
    <w:rsid w:val="00CD260F"/>
    <w:rsid w:val="00D316B0"/>
    <w:rsid w:val="00D427A1"/>
    <w:rsid w:val="00D46B0B"/>
    <w:rsid w:val="00D76373"/>
    <w:rsid w:val="00D93E28"/>
    <w:rsid w:val="00E278EF"/>
    <w:rsid w:val="00E53E6F"/>
    <w:rsid w:val="00EC661A"/>
    <w:rsid w:val="00ED2497"/>
    <w:rsid w:val="00F00AA3"/>
    <w:rsid w:val="00F3093A"/>
    <w:rsid w:val="00F316C9"/>
    <w:rsid w:val="00FB08F3"/>
    <w:rsid w:val="00FF53B0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F1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6F58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B15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F1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6F58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B15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 CJ 1</dc:creator>
  <cp:lastModifiedBy>RU2</cp:lastModifiedBy>
  <cp:revision>3</cp:revision>
  <cp:lastPrinted>2017-10-06T14:07:00Z</cp:lastPrinted>
  <dcterms:created xsi:type="dcterms:W3CDTF">2017-11-22T06:48:00Z</dcterms:created>
  <dcterms:modified xsi:type="dcterms:W3CDTF">2017-11-23T12:21:00Z</dcterms:modified>
</cp:coreProperties>
</file>